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36"/>
          <w:lang w:val="en-US" w:eastAsia="zh-CN"/>
        </w:rPr>
      </w:pPr>
      <w:r>
        <w:rPr>
          <w:rFonts w:hint="eastAsia"/>
          <w:b/>
          <w:bCs/>
          <w:sz w:val="36"/>
          <w:szCs w:val="36"/>
        </w:rPr>
        <w:t>北京化工大学</w:t>
      </w:r>
      <w:r>
        <w:rPr>
          <w:rFonts w:hint="default"/>
          <w:b/>
          <w:bCs/>
          <w:sz w:val="36"/>
          <w:szCs w:val="36"/>
          <w:lang w:val="en-US"/>
        </w:rPr>
        <w:t>2019</w:t>
      </w:r>
      <w:r>
        <w:rPr>
          <w:rFonts w:hint="eastAsia"/>
          <w:b/>
          <w:bCs/>
          <w:sz w:val="36"/>
          <w:szCs w:val="36"/>
          <w:lang w:val="en-US" w:eastAsia="zh-CN"/>
        </w:rPr>
        <w:t>成人高等教育招生章程</w:t>
      </w:r>
    </w:p>
    <w:p/>
    <w:p>
      <w:pPr>
        <w:jc w:val="center"/>
      </w:pPr>
      <w:r>
        <w:rPr>
          <w:rFonts w:hint="eastAsia"/>
          <w:b/>
          <w:bCs/>
          <w:sz w:val="28"/>
          <w:szCs w:val="28"/>
        </w:rPr>
        <w:t>第一章　总则</w:t>
      </w:r>
    </w:p>
    <w:p>
      <w:pPr>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b/>
          <w:bCs/>
          <w:sz w:val="24"/>
          <w:szCs w:val="24"/>
        </w:rPr>
        <w:t>第一条</w:t>
      </w:r>
      <w:r>
        <w:rPr>
          <w:rFonts w:hint="eastAsia"/>
          <w:sz w:val="24"/>
          <w:szCs w:val="24"/>
        </w:rPr>
        <w:t>　为了保证北京化工大学成人高等教育招生工作的顺利进行，规范招生行为，维护考生合法权益，提高生源质量，根据《中华人民共和国教育法》、《中华人民共和国高等教育法》</w:t>
      </w:r>
      <w:r>
        <w:rPr>
          <w:rFonts w:hint="eastAsia"/>
          <w:sz w:val="24"/>
          <w:szCs w:val="24"/>
          <w:lang w:eastAsia="zh-CN"/>
        </w:rPr>
        <w:t>，以及相关</w:t>
      </w:r>
      <w:r>
        <w:rPr>
          <w:rFonts w:hint="eastAsia"/>
          <w:sz w:val="24"/>
          <w:szCs w:val="24"/>
        </w:rPr>
        <w:t>文件精神，结合北京化工大学成人高等教育的具体情况，特制定本章程。</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第二条</w:t>
      </w:r>
      <w:r>
        <w:rPr>
          <w:rFonts w:hint="eastAsia"/>
          <w:sz w:val="24"/>
          <w:szCs w:val="24"/>
        </w:rPr>
        <w:t>　北京化工大学为全日制普通高校，是教育部直属全国重点大学，是国家“211工程”和“985优势学科创新平台”建设高校，是国家首批一流学科建设高校。</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第三条</w:t>
      </w:r>
      <w:r>
        <w:rPr>
          <w:rFonts w:hint="eastAsia"/>
          <w:sz w:val="24"/>
          <w:szCs w:val="24"/>
        </w:rPr>
        <w:t>　北京化工大学成人高等教育201</w:t>
      </w:r>
      <w:r>
        <w:rPr>
          <w:rFonts w:hint="eastAsia"/>
          <w:sz w:val="24"/>
          <w:szCs w:val="24"/>
          <w:lang w:val="en-US" w:eastAsia="zh-CN"/>
        </w:rPr>
        <w:t>9</w:t>
      </w:r>
      <w:r>
        <w:rPr>
          <w:rFonts w:hint="eastAsia"/>
          <w:sz w:val="24"/>
          <w:szCs w:val="24"/>
        </w:rPr>
        <w:t>年拟招生人数及各专业具体分省计划将由主管部门依据报名人数确定。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第四条</w:t>
      </w:r>
      <w:r>
        <w:rPr>
          <w:rFonts w:hint="eastAsia"/>
          <w:sz w:val="24"/>
          <w:szCs w:val="24"/>
        </w:rPr>
        <w:t>　北京化工大学成人高等教育学习形式为业余和函授，培养层次有高起本、高起专和专升本，最短学习年限为高起本5年、高起专和专升本2.5年。</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第五条</w:t>
      </w:r>
      <w:r>
        <w:rPr>
          <w:rFonts w:hint="eastAsia"/>
          <w:sz w:val="24"/>
          <w:szCs w:val="24"/>
        </w:rPr>
        <w:t>　学生修完教学计划规定的全部课程，成绩合格，由北京化工大学颁发教育部监制的成人高等教育毕业证书，国家承认学历。本科毕业并符合北京化工大学学位授予条件者，可授予学士学位。</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sz w:val="24"/>
          <w:szCs w:val="24"/>
        </w:rPr>
        <w:t>　　</w:t>
      </w:r>
      <w:r>
        <w:rPr>
          <w:rFonts w:hint="eastAsia"/>
          <w:b/>
          <w:bCs/>
          <w:sz w:val="24"/>
          <w:szCs w:val="24"/>
        </w:rPr>
        <w:t>第六条</w:t>
      </w:r>
      <w:r>
        <w:rPr>
          <w:rFonts w:hint="eastAsia"/>
          <w:sz w:val="24"/>
          <w:szCs w:val="24"/>
        </w:rPr>
        <w:t>　北京化工大学成人高等教育根据地区和专业安排上课地点和时间。北京地区业余学习的上课地点分别在北京化工大学东校区、北京化工大学北京市昌平区成人学校校外教学站（以下简称昌平教学站）、</w:t>
      </w:r>
      <w:r>
        <w:rPr>
          <w:rFonts w:hint="eastAsia"/>
          <w:sz w:val="24"/>
          <w:szCs w:val="24"/>
          <w:lang w:eastAsia="zh-CN"/>
        </w:rPr>
        <w:t>北京化工大学</w:t>
      </w:r>
      <w:r>
        <w:rPr>
          <w:rFonts w:hint="eastAsia" w:ascii="宋体" w:eastAsiaTheme="minorEastAsia"/>
          <w:sz w:val="24"/>
        </w:rPr>
        <w:t>北京奥鹏远程教育中心有限公司</w:t>
      </w:r>
      <w:r>
        <w:rPr>
          <w:rFonts w:hint="eastAsia" w:ascii="宋体"/>
          <w:sz w:val="24"/>
          <w:lang w:eastAsia="zh-CN"/>
        </w:rPr>
        <w:t>校外教学站（以下简称奥鹏教学站），</w:t>
      </w:r>
      <w:r>
        <w:rPr>
          <w:rFonts w:hint="eastAsia"/>
          <w:sz w:val="24"/>
          <w:szCs w:val="24"/>
        </w:rPr>
        <w:t>各教学站所设专业和授课时间存在差别。其中，东校区的授课时间为每星期天，昌平教学站的授课时间为双休日其中一天，</w:t>
      </w:r>
      <w:r>
        <w:rPr>
          <w:rFonts w:hint="eastAsia"/>
          <w:sz w:val="24"/>
          <w:szCs w:val="24"/>
          <w:lang w:eastAsia="zh-CN"/>
        </w:rPr>
        <w:t>奥鹏教学站的授课时间为双休日白天和平时晚上</w:t>
      </w:r>
      <w:r>
        <w:rPr>
          <w:rFonts w:hint="eastAsia"/>
          <w:sz w:val="24"/>
          <w:szCs w:val="24"/>
        </w:rPr>
        <w:t>。开设专业的详细目录见《北京化工大学201</w:t>
      </w:r>
      <w:r>
        <w:rPr>
          <w:rFonts w:hint="eastAsia"/>
          <w:sz w:val="24"/>
          <w:szCs w:val="24"/>
          <w:lang w:val="en-US" w:eastAsia="zh-CN"/>
        </w:rPr>
        <w:t>9</w:t>
      </w:r>
      <w:r>
        <w:rPr>
          <w:rFonts w:hint="eastAsia"/>
          <w:sz w:val="24"/>
          <w:szCs w:val="24"/>
        </w:rPr>
        <w:t>年成人高等教育招生简章》及学院网站。函授的授课地点在函授站所在地，上课时间由各函授站结合当地具体情况确定，一般为双休日或寒、暑假。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b/>
          <w:bCs/>
          <w:sz w:val="24"/>
          <w:szCs w:val="24"/>
        </w:rPr>
        <w:t>第二章　组织机构</w:t>
      </w:r>
      <w:r>
        <w:rPr>
          <w:rFonts w:hint="eastAsia"/>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b/>
          <w:bCs/>
          <w:sz w:val="24"/>
          <w:szCs w:val="24"/>
        </w:rPr>
        <w:t>第七条</w:t>
      </w:r>
      <w:r>
        <w:rPr>
          <w:rFonts w:hint="eastAsia"/>
          <w:sz w:val="24"/>
          <w:szCs w:val="24"/>
        </w:rPr>
        <w:t>　北京化工大学成人高等教育招生办公室是学校成人高等教育招生的常设机构，负责成人高等教育招生的日常工作。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b/>
          <w:bCs/>
          <w:sz w:val="24"/>
          <w:szCs w:val="24"/>
        </w:rPr>
        <w:t>第三章　招生条件</w:t>
      </w:r>
      <w:r>
        <w:rPr>
          <w:rFonts w:hint="eastAsia"/>
          <w:sz w:val="24"/>
          <w:szCs w:val="24"/>
        </w:rPr>
        <w:t>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b/>
          <w:bCs/>
          <w:sz w:val="24"/>
          <w:szCs w:val="24"/>
        </w:rPr>
        <w:t>第八条</w:t>
      </w:r>
      <w:r>
        <w:rPr>
          <w:rFonts w:hint="eastAsia"/>
          <w:sz w:val="24"/>
          <w:szCs w:val="24"/>
        </w:rPr>
        <w:t>　北京化工大学成人高等教育面向社会招收遵守中华人民共和国宪法和法律，身体健康，生活能自理，不影响所报专业学习的，国家承认学历的各类高、中等学校在校生以外的在职、从业人员和社会其他人员。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第九条</w:t>
      </w:r>
      <w:r>
        <w:rPr>
          <w:rFonts w:hint="eastAsia"/>
          <w:sz w:val="24"/>
          <w:szCs w:val="24"/>
        </w:rPr>
        <w:t>　北京化工大学成人高等教育只招收英语语种的考生。</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第十条</w:t>
      </w:r>
      <w:r>
        <w:rPr>
          <w:rFonts w:hint="eastAsia"/>
          <w:sz w:val="24"/>
          <w:szCs w:val="24"/>
        </w:rPr>
        <w:t>　报考高起本或高起专的考生应具有高中毕业文化程度。报考专升本的考生必须是已取得经教育部审定核准的国民教育系列高等学校、高等教育自学考试机构颁发的大学专科或以上毕业证书的人员，所报专业不受专科所学专业的限制，不需要进行专业课加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bCs/>
          <w:sz w:val="24"/>
          <w:szCs w:val="24"/>
        </w:rPr>
      </w:pPr>
      <w:r>
        <w:rPr>
          <w:rFonts w:hint="eastAsia"/>
          <w:b/>
          <w:bCs/>
          <w:sz w:val="24"/>
          <w:szCs w:val="24"/>
        </w:rPr>
        <w:t>第四章　录取原则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第十</w:t>
      </w:r>
      <w:r>
        <w:rPr>
          <w:rFonts w:hint="eastAsia"/>
          <w:b/>
          <w:bCs/>
          <w:sz w:val="24"/>
          <w:szCs w:val="24"/>
          <w:lang w:eastAsia="zh-CN"/>
        </w:rPr>
        <w:t>一</w:t>
      </w:r>
      <w:r>
        <w:rPr>
          <w:rFonts w:hint="eastAsia"/>
          <w:b/>
          <w:bCs/>
          <w:sz w:val="24"/>
          <w:szCs w:val="24"/>
        </w:rPr>
        <w:t>条</w:t>
      </w:r>
      <w:r>
        <w:rPr>
          <w:rFonts w:hint="eastAsia"/>
          <w:sz w:val="24"/>
          <w:szCs w:val="24"/>
        </w:rPr>
        <w:t>　北京化工大学成人高等教育以“公平、公正、公开”为原则，依照招生地区的省级成人高校招生</w:t>
      </w:r>
      <w:r>
        <w:rPr>
          <w:rFonts w:hint="eastAsia"/>
          <w:sz w:val="24"/>
          <w:szCs w:val="24"/>
          <w:lang w:eastAsia="zh-CN"/>
        </w:rPr>
        <w:t>委员会</w:t>
      </w:r>
      <w:r>
        <w:rPr>
          <w:rFonts w:hint="eastAsia"/>
          <w:sz w:val="24"/>
          <w:szCs w:val="24"/>
        </w:rPr>
        <w:t>所确定的最低录取控制线，根据招生计划，分专业，按考生第一志愿以总成绩从高分到低分择优录取。同时，我校负责对录取过程中遗留问题的处理。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第十</w:t>
      </w:r>
      <w:r>
        <w:rPr>
          <w:rFonts w:hint="eastAsia"/>
          <w:b/>
          <w:bCs/>
          <w:sz w:val="24"/>
          <w:szCs w:val="24"/>
          <w:lang w:eastAsia="zh-CN"/>
        </w:rPr>
        <w:t>二</w:t>
      </w:r>
      <w:r>
        <w:rPr>
          <w:rFonts w:hint="eastAsia"/>
          <w:b/>
          <w:bCs/>
          <w:sz w:val="24"/>
          <w:szCs w:val="24"/>
        </w:rPr>
        <w:t>条</w:t>
      </w:r>
      <w:r>
        <w:rPr>
          <w:rFonts w:hint="eastAsia"/>
          <w:sz w:val="24"/>
          <w:szCs w:val="24"/>
        </w:rPr>
        <w:t>　符合国家规定照顾录取条件的考生其增加投档的分数计入总成绩。符合国家规定的免试入学条件的考生按国家相关规定程序予以录取。</w:t>
      </w:r>
    </w:p>
    <w:p>
      <w:pPr>
        <w:keepNext w:val="0"/>
        <w:keepLines w:val="0"/>
        <w:pageBreakBefore w:val="0"/>
        <w:widowControl w:val="0"/>
        <w:kinsoku/>
        <w:wordWrap/>
        <w:overflowPunct/>
        <w:topLinePunct w:val="0"/>
        <w:autoSpaceDE/>
        <w:autoSpaceDN/>
        <w:bidi w:val="0"/>
        <w:adjustRightInd/>
        <w:snapToGrid/>
        <w:spacing w:line="360" w:lineRule="auto"/>
        <w:ind w:firstLine="485"/>
        <w:textAlignment w:val="auto"/>
        <w:rPr>
          <w:rFonts w:hint="eastAsia"/>
          <w:sz w:val="24"/>
          <w:szCs w:val="24"/>
        </w:rPr>
      </w:pPr>
      <w:r>
        <w:rPr>
          <w:rFonts w:hint="eastAsia"/>
          <w:b/>
          <w:bCs/>
          <w:sz w:val="24"/>
          <w:szCs w:val="24"/>
        </w:rPr>
        <w:t>第十</w:t>
      </w:r>
      <w:r>
        <w:rPr>
          <w:rFonts w:hint="eastAsia"/>
          <w:b/>
          <w:bCs/>
          <w:sz w:val="24"/>
          <w:szCs w:val="24"/>
          <w:lang w:eastAsia="zh-CN"/>
        </w:rPr>
        <w:t>三</w:t>
      </w:r>
      <w:r>
        <w:rPr>
          <w:rFonts w:hint="eastAsia"/>
          <w:b/>
          <w:bCs/>
          <w:sz w:val="24"/>
          <w:szCs w:val="24"/>
        </w:rPr>
        <w:t>条</w:t>
      </w:r>
      <w:r>
        <w:rPr>
          <w:rFonts w:hint="eastAsia"/>
          <w:sz w:val="24"/>
          <w:szCs w:val="24"/>
        </w:rPr>
        <w:t>　本校不足开班人数（30人）的专业将予以取消，并报北京教育考试院成人教育招生办公室备案，不服从校内调剂的考生在指定时间内登录北京教育考试院网站报名参加调剂录取。本校今年按照专业大类招生的专业以该大类下所有专业的上线人数作为是否开班（达到30人）的依据，处理原则同上。某一专业大类下各专业共同组班，到一定年限后学生自由选择专业进行分专业教学。按照专业大类招生的专业上课地点均在校本部，具体专业分类见《北京化工大学201</w:t>
      </w:r>
      <w:r>
        <w:rPr>
          <w:rFonts w:hint="eastAsia"/>
          <w:sz w:val="24"/>
          <w:szCs w:val="24"/>
          <w:lang w:val="en-US" w:eastAsia="zh-CN"/>
        </w:rPr>
        <w:t>9</w:t>
      </w:r>
      <w:r>
        <w:rPr>
          <w:rFonts w:hint="eastAsia"/>
          <w:sz w:val="24"/>
          <w:szCs w:val="24"/>
        </w:rPr>
        <w:t>年成人高等教育招生简章》。</w:t>
      </w:r>
    </w:p>
    <w:p>
      <w:pPr>
        <w:keepNext w:val="0"/>
        <w:keepLines w:val="0"/>
        <w:pageBreakBefore w:val="0"/>
        <w:widowControl w:val="0"/>
        <w:kinsoku/>
        <w:wordWrap/>
        <w:overflowPunct/>
        <w:topLinePunct w:val="0"/>
        <w:autoSpaceDE/>
        <w:autoSpaceDN/>
        <w:bidi w:val="0"/>
        <w:adjustRightInd/>
        <w:snapToGrid/>
        <w:spacing w:line="360" w:lineRule="auto"/>
        <w:ind w:firstLine="485"/>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5"/>
        <w:textAlignment w:val="auto"/>
        <w:rPr>
          <w:rFonts w:hint="default" w:eastAsiaTheme="minorEastAsia"/>
          <w:color w:val="000000" w:themeColor="text1"/>
          <w:sz w:val="24"/>
          <w:szCs w:val="24"/>
          <w:lang w:val="en-US"/>
          <w14:textFill>
            <w14:solidFill>
              <w14:schemeClr w14:val="tx1"/>
            </w14:solidFill>
          </w14:textFill>
        </w:rPr>
      </w:pPr>
      <w:r>
        <w:rPr>
          <w:rFonts w:hint="eastAsia" w:eastAsiaTheme="minorEastAsia"/>
          <w:b/>
          <w:bCs/>
          <w:color w:val="000000" w:themeColor="text1"/>
          <w:sz w:val="24"/>
          <w:szCs w:val="24"/>
          <w14:textFill>
            <w14:solidFill>
              <w14:schemeClr w14:val="tx1"/>
            </w14:solidFill>
          </w14:textFill>
        </w:rPr>
        <w:t>第十</w:t>
      </w:r>
      <w:r>
        <w:rPr>
          <w:rFonts w:hint="eastAsia" w:eastAsiaTheme="minorEastAsia"/>
          <w:b/>
          <w:bCs/>
          <w:color w:val="000000" w:themeColor="text1"/>
          <w:sz w:val="24"/>
          <w:szCs w:val="24"/>
          <w:lang w:eastAsia="zh-CN"/>
          <w14:textFill>
            <w14:solidFill>
              <w14:schemeClr w14:val="tx1"/>
            </w14:solidFill>
          </w14:textFill>
        </w:rPr>
        <w:t>四</w:t>
      </w:r>
      <w:r>
        <w:rPr>
          <w:rFonts w:hint="eastAsia" w:eastAsiaTheme="minorEastAsia"/>
          <w:b/>
          <w:bCs/>
          <w:color w:val="000000" w:themeColor="text1"/>
          <w:sz w:val="24"/>
          <w:szCs w:val="24"/>
          <w14:textFill>
            <w14:solidFill>
              <w14:schemeClr w14:val="tx1"/>
            </w14:solidFill>
          </w14:textFill>
        </w:rPr>
        <w:t>条</w:t>
      </w:r>
      <w:r>
        <w:rPr>
          <w:rFonts w:hint="default" w:eastAsiaTheme="minorEastAsia"/>
          <w:b/>
          <w:bCs/>
          <w:color w:val="000000" w:themeColor="text1"/>
          <w:sz w:val="24"/>
          <w:szCs w:val="24"/>
          <w:lang w:val="en-US"/>
          <w14:textFill>
            <w14:solidFill>
              <w14:schemeClr w14:val="tx1"/>
            </w14:solidFill>
          </w14:textFill>
        </w:rPr>
        <w:t xml:space="preserve">  </w:t>
      </w:r>
      <w:r>
        <w:rPr>
          <w:rFonts w:hint="default" w:eastAsiaTheme="minorEastAsia"/>
          <w:color w:val="000000" w:themeColor="text1"/>
          <w:sz w:val="24"/>
          <w:szCs w:val="24"/>
          <w:lang w:val="en-US"/>
          <w14:textFill>
            <w14:solidFill>
              <w14:schemeClr w14:val="tx1"/>
            </w14:solidFill>
          </w14:textFill>
        </w:rPr>
        <w:t>根据《刑法修正案（九）》和《国家教育考试违规处理办法（教育部令33号）》的规定，对于在投档过程中，被教育考试机构标记为</w:t>
      </w:r>
      <w:r>
        <w:rPr>
          <w:rFonts w:hint="eastAsia" w:eastAsiaTheme="minorEastAsia"/>
          <w:color w:val="000000" w:themeColor="text1"/>
          <w:sz w:val="24"/>
          <w:szCs w:val="24"/>
          <w:lang w:val="en-US" w:eastAsia="zh-CN"/>
          <w14:textFill>
            <w14:solidFill>
              <w14:schemeClr w14:val="tx1"/>
            </w14:solidFill>
          </w14:textFill>
        </w:rPr>
        <w:t>违纪</w:t>
      </w:r>
      <w:r>
        <w:rPr>
          <w:rFonts w:hint="default" w:eastAsiaTheme="minorEastAsia"/>
          <w:color w:val="000000" w:themeColor="text1"/>
          <w:sz w:val="24"/>
          <w:szCs w:val="24"/>
          <w:lang w:val="en-US"/>
          <w14:textFill>
            <w14:solidFill>
              <w14:schemeClr w14:val="tx1"/>
            </w14:solidFill>
          </w14:textFill>
        </w:rPr>
        <w:t>的考生，我校将不予录取。</w:t>
      </w:r>
      <w:r>
        <w:rPr>
          <w:rFonts w:hint="default" w:eastAsiaTheme="minorEastAsia"/>
          <w:b/>
          <w:bCs/>
          <w:color w:val="000000" w:themeColor="text1"/>
          <w:sz w:val="24"/>
          <w:szCs w:val="24"/>
          <w:lang w:val="en-US"/>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b/>
          <w:bCs/>
          <w:sz w:val="24"/>
          <w:szCs w:val="24"/>
        </w:rPr>
        <w:t>第五章　收费标准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sz w:val="24"/>
          <w:szCs w:val="24"/>
        </w:rPr>
      </w:pPr>
      <w:r>
        <w:rPr>
          <w:rFonts w:hint="eastAsia"/>
          <w:b/>
          <w:bCs/>
          <w:sz w:val="24"/>
          <w:szCs w:val="24"/>
        </w:rPr>
        <w:t>第十</w:t>
      </w:r>
      <w:r>
        <w:rPr>
          <w:rFonts w:hint="eastAsia"/>
          <w:b/>
          <w:bCs/>
          <w:sz w:val="24"/>
          <w:szCs w:val="24"/>
          <w:lang w:eastAsia="zh-CN"/>
        </w:rPr>
        <w:t>五</w:t>
      </w:r>
      <w:r>
        <w:rPr>
          <w:rFonts w:hint="eastAsia"/>
          <w:b/>
          <w:bCs/>
          <w:sz w:val="24"/>
          <w:szCs w:val="24"/>
        </w:rPr>
        <w:t>条</w:t>
      </w:r>
      <w:r>
        <w:rPr>
          <w:rFonts w:hint="eastAsia"/>
          <w:sz w:val="24"/>
          <w:szCs w:val="24"/>
        </w:rPr>
        <w:t>　北京地区业余学习学费标准按照北京市教育主管部门审批、物价部门备案的标准执行（如下表）。外埠函授学生学费标准可参照北京地区学费标准制定，但须按照当地教育主管部门批准的标准执行，教材费由学生自理。如上级主管部门有新的文件精神，按新规定执行。</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eastAsiaTheme="minorEastAsia"/>
          <w:sz w:val="24"/>
          <w:szCs w:val="24"/>
          <w:lang w:val="en-US" w:eastAsia="zh-CN"/>
        </w:rPr>
      </w:pPr>
      <w:r>
        <w:rPr>
          <w:rFonts w:hint="eastAsia"/>
          <w:sz w:val="24"/>
          <w:szCs w:val="24"/>
          <w:lang w:val="en-US" w:eastAsia="zh-CN"/>
        </w:rPr>
        <w:t xml:space="preserve">              </w:t>
      </w:r>
    </w:p>
    <w:tbl>
      <w:tblPr>
        <w:tblStyle w:val="5"/>
        <w:tblW w:w="6794" w:type="dxa"/>
        <w:tblInd w:w="1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388"/>
        <w:gridCol w:w="1260"/>
        <w:gridCol w:w="3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noWrap w:val="0"/>
            <w:vAlign w:val="center"/>
          </w:tcPr>
          <w:p>
            <w:pPr>
              <w:spacing w:line="400" w:lineRule="exact"/>
              <w:jc w:val="center"/>
              <w:rPr>
                <w:rFonts w:hint="eastAsia" w:ascii="宋体" w:hAnsi="宋体"/>
                <w:b/>
                <w:sz w:val="24"/>
              </w:rPr>
            </w:pPr>
            <w:r>
              <w:rPr>
                <w:rFonts w:hint="eastAsia" w:ascii="宋体" w:hAnsi="宋体"/>
                <w:b/>
                <w:sz w:val="24"/>
              </w:rPr>
              <w:t>层次</w:t>
            </w:r>
          </w:p>
        </w:tc>
        <w:tc>
          <w:tcPr>
            <w:tcW w:w="1388" w:type="dxa"/>
            <w:noWrap w:val="0"/>
            <w:vAlign w:val="center"/>
          </w:tcPr>
          <w:p>
            <w:pPr>
              <w:spacing w:line="400" w:lineRule="exact"/>
              <w:jc w:val="center"/>
              <w:rPr>
                <w:rFonts w:hint="eastAsia" w:ascii="宋体" w:hAnsi="宋体"/>
                <w:b/>
                <w:sz w:val="24"/>
              </w:rPr>
            </w:pPr>
            <w:r>
              <w:rPr>
                <w:rFonts w:hint="eastAsia" w:ascii="宋体" w:hAnsi="宋体"/>
                <w:b/>
                <w:sz w:val="24"/>
              </w:rPr>
              <w:t>科类</w:t>
            </w:r>
          </w:p>
        </w:tc>
        <w:tc>
          <w:tcPr>
            <w:tcW w:w="1260" w:type="dxa"/>
            <w:noWrap w:val="0"/>
            <w:vAlign w:val="center"/>
          </w:tcPr>
          <w:p>
            <w:pPr>
              <w:spacing w:line="400" w:lineRule="exact"/>
              <w:jc w:val="center"/>
              <w:rPr>
                <w:rFonts w:hint="eastAsia" w:ascii="宋体" w:hAnsi="宋体"/>
                <w:b/>
                <w:sz w:val="24"/>
              </w:rPr>
            </w:pPr>
            <w:r>
              <w:rPr>
                <w:rFonts w:hint="eastAsia" w:ascii="宋体" w:hAnsi="宋体"/>
                <w:b/>
                <w:sz w:val="24"/>
              </w:rPr>
              <w:t>学习年限</w:t>
            </w:r>
          </w:p>
        </w:tc>
        <w:tc>
          <w:tcPr>
            <w:tcW w:w="3194" w:type="dxa"/>
            <w:noWrap w:val="0"/>
            <w:vAlign w:val="center"/>
          </w:tcPr>
          <w:p>
            <w:pPr>
              <w:spacing w:line="400" w:lineRule="exact"/>
              <w:jc w:val="center"/>
              <w:rPr>
                <w:rFonts w:hint="eastAsia" w:ascii="宋体" w:hAnsi="宋体"/>
                <w:b/>
                <w:sz w:val="24"/>
              </w:rPr>
            </w:pPr>
            <w:r>
              <w:rPr>
                <w:rFonts w:hint="eastAsia" w:ascii="宋体" w:hAnsi="宋体"/>
                <w:b/>
                <w:sz w:val="24"/>
              </w:rPr>
              <w:t>收费办法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52" w:type="dxa"/>
            <w:vMerge w:val="restart"/>
            <w:noWrap w:val="0"/>
            <w:vAlign w:val="center"/>
          </w:tcPr>
          <w:p>
            <w:pPr>
              <w:spacing w:line="400" w:lineRule="exact"/>
              <w:jc w:val="center"/>
              <w:rPr>
                <w:rFonts w:hint="eastAsia" w:ascii="宋体" w:hAnsi="宋体"/>
                <w:szCs w:val="21"/>
              </w:rPr>
            </w:pPr>
            <w:r>
              <w:rPr>
                <w:rFonts w:hint="eastAsia" w:ascii="宋体" w:hAnsi="宋体"/>
                <w:szCs w:val="21"/>
              </w:rPr>
              <w:t>高起本</w:t>
            </w:r>
          </w:p>
        </w:tc>
        <w:tc>
          <w:tcPr>
            <w:tcW w:w="1388" w:type="dxa"/>
            <w:noWrap w:val="0"/>
            <w:vAlign w:val="center"/>
          </w:tcPr>
          <w:p>
            <w:pPr>
              <w:spacing w:line="400" w:lineRule="exact"/>
              <w:jc w:val="center"/>
              <w:rPr>
                <w:rFonts w:hint="eastAsia" w:ascii="宋体" w:hAnsi="宋体"/>
                <w:szCs w:val="21"/>
              </w:rPr>
            </w:pPr>
            <w:r>
              <w:rPr>
                <w:rFonts w:hint="eastAsia" w:ascii="宋体" w:hAnsi="宋体"/>
                <w:szCs w:val="21"/>
              </w:rPr>
              <w:t>文、理兼收</w:t>
            </w:r>
          </w:p>
        </w:tc>
        <w:tc>
          <w:tcPr>
            <w:tcW w:w="1260" w:type="dxa"/>
            <w:noWrap w:val="0"/>
            <w:vAlign w:val="center"/>
          </w:tcPr>
          <w:p>
            <w:pPr>
              <w:spacing w:line="400" w:lineRule="exact"/>
              <w:jc w:val="center"/>
              <w:rPr>
                <w:rFonts w:hint="eastAsia" w:ascii="宋体" w:hAnsi="宋体"/>
                <w:szCs w:val="21"/>
              </w:rPr>
            </w:pPr>
            <w:r>
              <w:rPr>
                <w:rFonts w:hint="eastAsia" w:ascii="宋体" w:hAnsi="宋体"/>
                <w:szCs w:val="21"/>
              </w:rPr>
              <w:t>5年</w:t>
            </w:r>
          </w:p>
        </w:tc>
        <w:tc>
          <w:tcPr>
            <w:tcW w:w="3194" w:type="dxa"/>
            <w:noWrap w:val="0"/>
            <w:vAlign w:val="center"/>
          </w:tcPr>
          <w:p>
            <w:pPr>
              <w:spacing w:line="400" w:lineRule="exact"/>
              <w:jc w:val="center"/>
              <w:rPr>
                <w:rFonts w:hint="eastAsia" w:ascii="宋体" w:hAnsi="宋体"/>
                <w:szCs w:val="21"/>
              </w:rPr>
            </w:pPr>
            <w:r>
              <w:rPr>
                <w:rFonts w:hint="eastAsia" w:ascii="宋体" w:hAnsi="宋体"/>
                <w:szCs w:val="21"/>
              </w:rPr>
              <w:t>2030元/年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noWrap w:val="0"/>
            <w:vAlign w:val="center"/>
          </w:tcPr>
          <w:p>
            <w:pPr>
              <w:spacing w:line="400" w:lineRule="exact"/>
              <w:jc w:val="center"/>
              <w:rPr>
                <w:rFonts w:hint="eastAsia" w:ascii="宋体" w:hAnsi="宋体"/>
                <w:szCs w:val="21"/>
              </w:rPr>
            </w:pPr>
          </w:p>
        </w:tc>
        <w:tc>
          <w:tcPr>
            <w:tcW w:w="1388" w:type="dxa"/>
            <w:noWrap w:val="0"/>
            <w:vAlign w:val="center"/>
          </w:tcPr>
          <w:p>
            <w:pPr>
              <w:spacing w:line="400" w:lineRule="exact"/>
              <w:jc w:val="center"/>
              <w:rPr>
                <w:rFonts w:hint="eastAsia" w:ascii="宋体" w:hAnsi="宋体"/>
                <w:szCs w:val="21"/>
              </w:rPr>
            </w:pPr>
            <w:r>
              <w:rPr>
                <w:rFonts w:hint="eastAsia" w:ascii="宋体" w:hAnsi="宋体"/>
                <w:szCs w:val="21"/>
              </w:rPr>
              <w:t>理科</w:t>
            </w:r>
          </w:p>
        </w:tc>
        <w:tc>
          <w:tcPr>
            <w:tcW w:w="1260" w:type="dxa"/>
            <w:noWrap w:val="0"/>
            <w:vAlign w:val="center"/>
          </w:tcPr>
          <w:p>
            <w:pPr>
              <w:spacing w:line="400" w:lineRule="exact"/>
              <w:jc w:val="center"/>
              <w:rPr>
                <w:rFonts w:hint="eastAsia" w:ascii="宋体" w:hAnsi="宋体"/>
                <w:szCs w:val="21"/>
              </w:rPr>
            </w:pPr>
            <w:r>
              <w:rPr>
                <w:rFonts w:hint="eastAsia" w:ascii="宋体" w:hAnsi="宋体"/>
                <w:szCs w:val="21"/>
              </w:rPr>
              <w:t>5年</w:t>
            </w:r>
          </w:p>
        </w:tc>
        <w:tc>
          <w:tcPr>
            <w:tcW w:w="3194" w:type="dxa"/>
            <w:noWrap w:val="0"/>
            <w:vAlign w:val="center"/>
          </w:tcPr>
          <w:p>
            <w:pPr>
              <w:spacing w:line="400" w:lineRule="exact"/>
              <w:jc w:val="center"/>
              <w:rPr>
                <w:rFonts w:hint="eastAsia" w:ascii="宋体" w:hAnsi="宋体"/>
                <w:szCs w:val="21"/>
              </w:rPr>
            </w:pPr>
            <w:r>
              <w:rPr>
                <w:rFonts w:hint="eastAsia" w:ascii="宋体" w:hAnsi="宋体"/>
                <w:szCs w:val="21"/>
              </w:rPr>
              <w:t>2720元/年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noWrap w:val="0"/>
            <w:vAlign w:val="center"/>
          </w:tcPr>
          <w:p>
            <w:pPr>
              <w:spacing w:line="400" w:lineRule="exact"/>
              <w:jc w:val="center"/>
              <w:rPr>
                <w:rFonts w:hint="eastAsia" w:ascii="宋体" w:hAnsi="宋体"/>
                <w:szCs w:val="21"/>
              </w:rPr>
            </w:pPr>
          </w:p>
        </w:tc>
        <w:tc>
          <w:tcPr>
            <w:tcW w:w="1388" w:type="dxa"/>
            <w:noWrap w:val="0"/>
            <w:vAlign w:val="center"/>
          </w:tcPr>
          <w:p>
            <w:pPr>
              <w:spacing w:line="400" w:lineRule="exact"/>
              <w:jc w:val="center"/>
              <w:rPr>
                <w:rFonts w:hint="eastAsia" w:ascii="宋体" w:hAnsi="宋体"/>
                <w:szCs w:val="21"/>
              </w:rPr>
            </w:pPr>
            <w:r>
              <w:rPr>
                <w:rFonts w:hint="eastAsia" w:ascii="宋体" w:hAnsi="宋体"/>
                <w:szCs w:val="21"/>
              </w:rPr>
              <w:t>艺术类</w:t>
            </w:r>
          </w:p>
        </w:tc>
        <w:tc>
          <w:tcPr>
            <w:tcW w:w="1260" w:type="dxa"/>
            <w:noWrap w:val="0"/>
            <w:vAlign w:val="center"/>
          </w:tcPr>
          <w:p>
            <w:pPr>
              <w:spacing w:line="400" w:lineRule="exact"/>
              <w:jc w:val="center"/>
              <w:rPr>
                <w:rFonts w:hint="eastAsia" w:ascii="宋体" w:hAnsi="宋体"/>
                <w:szCs w:val="21"/>
              </w:rPr>
            </w:pPr>
            <w:r>
              <w:rPr>
                <w:rFonts w:hint="eastAsia" w:ascii="宋体" w:hAnsi="宋体"/>
                <w:szCs w:val="21"/>
              </w:rPr>
              <w:t>5年</w:t>
            </w:r>
          </w:p>
        </w:tc>
        <w:tc>
          <w:tcPr>
            <w:tcW w:w="3194" w:type="dxa"/>
            <w:noWrap w:val="0"/>
            <w:vAlign w:val="center"/>
          </w:tcPr>
          <w:p>
            <w:pPr>
              <w:spacing w:line="400" w:lineRule="exact"/>
              <w:jc w:val="center"/>
              <w:rPr>
                <w:rFonts w:hint="eastAsia" w:ascii="宋体" w:hAnsi="宋体"/>
                <w:szCs w:val="21"/>
              </w:rPr>
            </w:pPr>
            <w:r>
              <w:rPr>
                <w:rFonts w:hint="eastAsia" w:ascii="宋体" w:hAnsi="宋体"/>
                <w:szCs w:val="21"/>
              </w:rPr>
              <w:t>3190元/年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noWrap w:val="0"/>
            <w:vAlign w:val="center"/>
          </w:tcPr>
          <w:p>
            <w:pPr>
              <w:spacing w:line="400" w:lineRule="exact"/>
              <w:jc w:val="center"/>
              <w:rPr>
                <w:rFonts w:hint="eastAsia" w:ascii="宋体" w:hAnsi="宋体"/>
                <w:szCs w:val="21"/>
              </w:rPr>
            </w:pPr>
          </w:p>
        </w:tc>
        <w:tc>
          <w:tcPr>
            <w:tcW w:w="1388" w:type="dxa"/>
            <w:noWrap w:val="0"/>
            <w:vAlign w:val="center"/>
          </w:tcPr>
          <w:p>
            <w:pPr>
              <w:spacing w:line="400" w:lineRule="exact"/>
              <w:jc w:val="center"/>
              <w:rPr>
                <w:rFonts w:hint="eastAsia" w:ascii="宋体" w:hAnsi="宋体"/>
                <w:szCs w:val="21"/>
              </w:rPr>
            </w:pPr>
            <w:r>
              <w:rPr>
                <w:rFonts w:hint="eastAsia" w:ascii="宋体" w:hAnsi="宋体"/>
                <w:szCs w:val="21"/>
              </w:rPr>
              <w:t>外语类</w:t>
            </w:r>
          </w:p>
        </w:tc>
        <w:tc>
          <w:tcPr>
            <w:tcW w:w="1260" w:type="dxa"/>
            <w:noWrap w:val="0"/>
            <w:vAlign w:val="center"/>
          </w:tcPr>
          <w:p>
            <w:pPr>
              <w:spacing w:line="400" w:lineRule="exact"/>
              <w:jc w:val="center"/>
              <w:rPr>
                <w:rFonts w:hint="eastAsia" w:ascii="宋体" w:hAnsi="宋体"/>
                <w:szCs w:val="21"/>
              </w:rPr>
            </w:pPr>
            <w:r>
              <w:rPr>
                <w:rFonts w:hint="eastAsia" w:ascii="宋体" w:hAnsi="宋体"/>
                <w:szCs w:val="21"/>
              </w:rPr>
              <w:t>5年</w:t>
            </w:r>
          </w:p>
        </w:tc>
        <w:tc>
          <w:tcPr>
            <w:tcW w:w="3194" w:type="dxa"/>
            <w:noWrap w:val="0"/>
            <w:vAlign w:val="center"/>
          </w:tcPr>
          <w:p>
            <w:pPr>
              <w:spacing w:line="400" w:lineRule="exact"/>
              <w:jc w:val="center"/>
              <w:rPr>
                <w:rFonts w:hint="eastAsia" w:ascii="宋体" w:hAnsi="宋体"/>
                <w:szCs w:val="21"/>
              </w:rPr>
            </w:pPr>
            <w:r>
              <w:rPr>
                <w:rFonts w:hint="eastAsia" w:ascii="宋体" w:hAnsi="宋体"/>
                <w:szCs w:val="21"/>
              </w:rPr>
              <w:t>2610元/年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restart"/>
            <w:noWrap w:val="0"/>
            <w:vAlign w:val="center"/>
          </w:tcPr>
          <w:p>
            <w:pPr>
              <w:spacing w:line="400" w:lineRule="exact"/>
              <w:jc w:val="center"/>
              <w:rPr>
                <w:rFonts w:hint="eastAsia" w:ascii="宋体" w:hAnsi="宋体"/>
                <w:szCs w:val="21"/>
              </w:rPr>
            </w:pPr>
            <w:r>
              <w:rPr>
                <w:rFonts w:hint="eastAsia" w:ascii="宋体" w:hAnsi="宋体"/>
                <w:szCs w:val="21"/>
              </w:rPr>
              <w:t>专升本</w:t>
            </w:r>
          </w:p>
        </w:tc>
        <w:tc>
          <w:tcPr>
            <w:tcW w:w="1388" w:type="dxa"/>
            <w:noWrap w:val="0"/>
            <w:vAlign w:val="center"/>
          </w:tcPr>
          <w:p>
            <w:pPr>
              <w:spacing w:line="400" w:lineRule="exact"/>
              <w:jc w:val="center"/>
              <w:rPr>
                <w:rFonts w:hint="eastAsia" w:ascii="宋体" w:hAnsi="宋体"/>
                <w:szCs w:val="21"/>
              </w:rPr>
            </w:pPr>
            <w:r>
              <w:rPr>
                <w:rFonts w:hint="eastAsia" w:ascii="宋体" w:hAnsi="宋体"/>
                <w:szCs w:val="21"/>
              </w:rPr>
              <w:t>经管</w:t>
            </w:r>
          </w:p>
        </w:tc>
        <w:tc>
          <w:tcPr>
            <w:tcW w:w="1260" w:type="dxa"/>
            <w:noWrap w:val="0"/>
            <w:vAlign w:val="center"/>
          </w:tcPr>
          <w:p>
            <w:pPr>
              <w:spacing w:line="400" w:lineRule="exact"/>
              <w:jc w:val="center"/>
              <w:rPr>
                <w:rFonts w:hint="eastAsia" w:ascii="宋体" w:hAnsi="宋体"/>
                <w:szCs w:val="21"/>
              </w:rPr>
            </w:pPr>
            <w:r>
              <w:rPr>
                <w:rFonts w:hint="eastAsia" w:ascii="宋体" w:hAnsi="宋体"/>
                <w:szCs w:val="21"/>
              </w:rPr>
              <w:t>2.5年</w:t>
            </w:r>
          </w:p>
        </w:tc>
        <w:tc>
          <w:tcPr>
            <w:tcW w:w="3194" w:type="dxa"/>
            <w:noWrap w:val="0"/>
            <w:vAlign w:val="center"/>
          </w:tcPr>
          <w:p>
            <w:pPr>
              <w:spacing w:line="400" w:lineRule="exact"/>
              <w:jc w:val="center"/>
              <w:rPr>
                <w:rFonts w:hint="eastAsia" w:ascii="宋体" w:hAnsi="宋体"/>
                <w:szCs w:val="21"/>
              </w:rPr>
            </w:pPr>
            <w:r>
              <w:rPr>
                <w:rFonts w:hint="eastAsia" w:ascii="宋体" w:hAnsi="宋体"/>
                <w:szCs w:val="21"/>
              </w:rPr>
              <w:t>2436元/年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noWrap w:val="0"/>
            <w:vAlign w:val="center"/>
          </w:tcPr>
          <w:p>
            <w:pPr>
              <w:spacing w:line="400" w:lineRule="exact"/>
              <w:jc w:val="center"/>
              <w:rPr>
                <w:rFonts w:hint="eastAsia" w:ascii="宋体" w:hAnsi="宋体"/>
                <w:szCs w:val="21"/>
              </w:rPr>
            </w:pPr>
          </w:p>
        </w:tc>
        <w:tc>
          <w:tcPr>
            <w:tcW w:w="1388" w:type="dxa"/>
            <w:noWrap w:val="0"/>
            <w:vAlign w:val="center"/>
          </w:tcPr>
          <w:p>
            <w:pPr>
              <w:spacing w:line="400" w:lineRule="exact"/>
              <w:jc w:val="center"/>
              <w:rPr>
                <w:rFonts w:hint="eastAsia" w:ascii="宋体" w:hAnsi="宋体"/>
                <w:szCs w:val="21"/>
              </w:rPr>
            </w:pPr>
            <w:r>
              <w:rPr>
                <w:rFonts w:hint="eastAsia" w:ascii="宋体" w:hAnsi="宋体"/>
                <w:szCs w:val="21"/>
              </w:rPr>
              <w:t>理工</w:t>
            </w:r>
          </w:p>
        </w:tc>
        <w:tc>
          <w:tcPr>
            <w:tcW w:w="1260" w:type="dxa"/>
            <w:noWrap w:val="0"/>
            <w:vAlign w:val="center"/>
          </w:tcPr>
          <w:p>
            <w:pPr>
              <w:spacing w:line="400" w:lineRule="exact"/>
              <w:jc w:val="center"/>
              <w:rPr>
                <w:rFonts w:hint="eastAsia" w:ascii="宋体" w:hAnsi="宋体"/>
                <w:szCs w:val="21"/>
              </w:rPr>
            </w:pPr>
            <w:r>
              <w:rPr>
                <w:rFonts w:hint="eastAsia" w:ascii="宋体" w:hAnsi="宋体"/>
                <w:szCs w:val="21"/>
              </w:rPr>
              <w:t>2.5年</w:t>
            </w:r>
          </w:p>
        </w:tc>
        <w:tc>
          <w:tcPr>
            <w:tcW w:w="3194" w:type="dxa"/>
            <w:noWrap w:val="0"/>
            <w:vAlign w:val="center"/>
          </w:tcPr>
          <w:p>
            <w:pPr>
              <w:spacing w:line="400" w:lineRule="exact"/>
              <w:jc w:val="center"/>
              <w:rPr>
                <w:rFonts w:hint="eastAsia" w:ascii="宋体" w:hAnsi="宋体"/>
                <w:szCs w:val="21"/>
              </w:rPr>
            </w:pPr>
            <w:r>
              <w:rPr>
                <w:rFonts w:hint="eastAsia" w:ascii="宋体" w:hAnsi="宋体"/>
                <w:szCs w:val="21"/>
              </w:rPr>
              <w:t>2880元/年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2" w:type="dxa"/>
            <w:vMerge w:val="continue"/>
            <w:noWrap w:val="0"/>
            <w:vAlign w:val="center"/>
          </w:tcPr>
          <w:p>
            <w:pPr>
              <w:spacing w:line="400" w:lineRule="exact"/>
              <w:jc w:val="center"/>
              <w:rPr>
                <w:rFonts w:hint="eastAsia" w:ascii="宋体" w:hAnsi="宋体"/>
                <w:szCs w:val="21"/>
              </w:rPr>
            </w:pPr>
          </w:p>
        </w:tc>
        <w:tc>
          <w:tcPr>
            <w:tcW w:w="1388" w:type="dxa"/>
            <w:noWrap w:val="0"/>
            <w:vAlign w:val="center"/>
          </w:tcPr>
          <w:p>
            <w:pPr>
              <w:spacing w:line="400" w:lineRule="exact"/>
              <w:jc w:val="center"/>
              <w:rPr>
                <w:rFonts w:hint="eastAsia" w:ascii="宋体" w:hAnsi="宋体"/>
                <w:szCs w:val="21"/>
              </w:rPr>
            </w:pPr>
            <w:r>
              <w:rPr>
                <w:rFonts w:hint="eastAsia" w:ascii="宋体" w:hAnsi="宋体"/>
                <w:szCs w:val="21"/>
              </w:rPr>
              <w:t>艺术类</w:t>
            </w:r>
          </w:p>
        </w:tc>
        <w:tc>
          <w:tcPr>
            <w:tcW w:w="1260" w:type="dxa"/>
            <w:noWrap w:val="0"/>
            <w:vAlign w:val="center"/>
          </w:tcPr>
          <w:p>
            <w:pPr>
              <w:spacing w:line="400" w:lineRule="exact"/>
              <w:jc w:val="center"/>
              <w:rPr>
                <w:rFonts w:hint="eastAsia" w:ascii="宋体" w:hAnsi="宋体"/>
                <w:szCs w:val="21"/>
              </w:rPr>
            </w:pPr>
            <w:r>
              <w:rPr>
                <w:rFonts w:hint="eastAsia" w:ascii="宋体" w:hAnsi="宋体"/>
                <w:szCs w:val="21"/>
              </w:rPr>
              <w:t>2.5年</w:t>
            </w:r>
          </w:p>
        </w:tc>
        <w:tc>
          <w:tcPr>
            <w:tcW w:w="3194" w:type="dxa"/>
            <w:noWrap w:val="0"/>
            <w:vAlign w:val="center"/>
          </w:tcPr>
          <w:p>
            <w:pPr>
              <w:spacing w:line="400" w:lineRule="exact"/>
              <w:jc w:val="center"/>
              <w:rPr>
                <w:rFonts w:hint="eastAsia" w:ascii="宋体" w:hAnsi="宋体"/>
                <w:szCs w:val="21"/>
              </w:rPr>
            </w:pPr>
            <w:r>
              <w:rPr>
                <w:rFonts w:hint="eastAsia" w:ascii="宋体" w:hAnsi="宋体"/>
                <w:szCs w:val="21"/>
              </w:rPr>
              <w:t>3828元/年</w:t>
            </w: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eastAsia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b/>
          <w:bCs/>
          <w:sz w:val="24"/>
          <w:szCs w:val="24"/>
        </w:rPr>
        <w:t>第六章　其他</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第十</w:t>
      </w:r>
      <w:r>
        <w:rPr>
          <w:rFonts w:hint="eastAsia"/>
          <w:b/>
          <w:bCs/>
          <w:sz w:val="24"/>
          <w:szCs w:val="24"/>
          <w:lang w:eastAsia="zh-CN"/>
        </w:rPr>
        <w:t>六</w:t>
      </w:r>
      <w:r>
        <w:rPr>
          <w:rFonts w:hint="eastAsia"/>
          <w:b/>
          <w:bCs/>
          <w:sz w:val="24"/>
          <w:szCs w:val="24"/>
        </w:rPr>
        <w:t>条</w:t>
      </w:r>
      <w:r>
        <w:rPr>
          <w:rFonts w:hint="eastAsia"/>
          <w:sz w:val="24"/>
          <w:szCs w:val="24"/>
        </w:rPr>
        <w:t>　录取工作结束后，我校将短信通知考生录取信息，并告知考生登录我院网站进行新生网上报到注册,来校报到时将通知书发放给考生。新生入学后，北京化工大学将对已录取报到的新生进行全面复查，对其中不符合条件或弄虚作假、违纪舞弊者，无论何时发现，一律取消其入学资格和学籍，并报上级部门备案。被录取的专升本考生入学报到时必须出具经教育部审定核准的大学专科或以上毕业证书原件，并提交《教育部学历证书电子注册备案表》（可登录“学信网”进行实名认证）或由教育部学历认证中心提供的学历认证证明及毕业证书复印件，否则新生学籍电子注册不能通过，并将被取消入学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第十</w:t>
      </w:r>
      <w:r>
        <w:rPr>
          <w:rFonts w:hint="eastAsia"/>
          <w:b/>
          <w:bCs/>
          <w:sz w:val="24"/>
          <w:szCs w:val="24"/>
          <w:lang w:eastAsia="zh-CN"/>
        </w:rPr>
        <w:t>七</w:t>
      </w:r>
      <w:r>
        <w:rPr>
          <w:rFonts w:hint="eastAsia"/>
          <w:b/>
          <w:bCs/>
          <w:sz w:val="24"/>
          <w:szCs w:val="24"/>
        </w:rPr>
        <w:t>条</w:t>
      </w:r>
      <w:r>
        <w:rPr>
          <w:rFonts w:hint="eastAsia"/>
          <w:sz w:val="24"/>
          <w:szCs w:val="24"/>
        </w:rPr>
        <w:t>　北京化工大学成人高等教育招生工作由北京化工大学纪委、监察室、北京教育考试院成人教育招生办公室负责监督，纪检监督电话：010-64434762（不负责咨询）。</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rFonts w:hint="eastAsia"/>
          <w:b/>
          <w:bCs/>
          <w:sz w:val="24"/>
          <w:szCs w:val="24"/>
        </w:rPr>
        <w:t>第十</w:t>
      </w:r>
      <w:r>
        <w:rPr>
          <w:rFonts w:hint="eastAsia"/>
          <w:b/>
          <w:bCs/>
          <w:sz w:val="24"/>
          <w:szCs w:val="24"/>
          <w:lang w:eastAsia="zh-CN"/>
        </w:rPr>
        <w:t>八</w:t>
      </w:r>
      <w:r>
        <w:rPr>
          <w:rFonts w:hint="eastAsia"/>
          <w:b/>
          <w:bCs/>
          <w:sz w:val="24"/>
          <w:szCs w:val="24"/>
        </w:rPr>
        <w:t>条</w:t>
      </w:r>
      <w:r>
        <w:rPr>
          <w:rFonts w:hint="eastAsia"/>
          <w:sz w:val="24"/>
          <w:szCs w:val="24"/>
        </w:rPr>
        <w:t>　学校本部地址：北京市朝阳区北三环东路15号，北京化工大学成人高等教育招生办公室地址：北京化工大学化纤楼202。邮政编码：100029。</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招生和录取咨询电话：010-64439188。</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http://cel.buct.edu.cn。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w:t>
      </w:r>
      <w:r>
        <w:rPr>
          <w:rFonts w:hint="eastAsia"/>
          <w:b/>
          <w:bCs/>
          <w:sz w:val="24"/>
          <w:szCs w:val="24"/>
        </w:rPr>
        <w:t>第十</w:t>
      </w:r>
      <w:r>
        <w:rPr>
          <w:rFonts w:hint="eastAsia"/>
          <w:b/>
          <w:bCs/>
          <w:sz w:val="24"/>
          <w:szCs w:val="24"/>
          <w:lang w:eastAsia="zh-CN"/>
        </w:rPr>
        <w:t>九</w:t>
      </w:r>
      <w:r>
        <w:rPr>
          <w:rFonts w:hint="eastAsia"/>
          <w:b/>
          <w:bCs/>
          <w:sz w:val="24"/>
          <w:szCs w:val="24"/>
        </w:rPr>
        <w:t>条</w:t>
      </w:r>
      <w:r>
        <w:rPr>
          <w:rFonts w:hint="eastAsia"/>
          <w:sz w:val="24"/>
          <w:szCs w:val="24"/>
        </w:rPr>
        <w:t>　本章程经北京化工大学继续教育学院院长办公会讨论通过，由北京化工大学成人高等教育招生办公室负责解释。</w:t>
      </w:r>
    </w:p>
    <w:p>
      <w:pPr>
        <w:spacing w:line="440" w:lineRule="exact"/>
        <w:ind w:right="960"/>
        <w:jc w:val="right"/>
        <w:rPr>
          <w:rFonts w:hint="eastAsia"/>
          <w:sz w:val="24"/>
          <w:szCs w:val="24"/>
          <w:lang w:val="en-US" w:eastAsia="zh-CN"/>
        </w:rPr>
      </w:pPr>
      <w:r>
        <w:rPr>
          <w:rFonts w:hint="eastAsia"/>
          <w:sz w:val="24"/>
          <w:szCs w:val="24"/>
          <w:lang w:val="en-US" w:eastAsia="zh-CN"/>
        </w:rPr>
        <w:t xml:space="preserve">                                                 </w:t>
      </w:r>
    </w:p>
    <w:p>
      <w:pPr>
        <w:spacing w:line="440" w:lineRule="exact"/>
        <w:ind w:right="960"/>
        <w:jc w:val="right"/>
        <w:rPr>
          <w:rFonts w:hint="eastAsia"/>
          <w:sz w:val="24"/>
          <w:szCs w:val="24"/>
          <w:lang w:val="en-US" w:eastAsia="zh-CN"/>
        </w:rPr>
      </w:pPr>
    </w:p>
    <w:p>
      <w:pPr>
        <w:spacing w:line="440" w:lineRule="exact"/>
        <w:ind w:right="960"/>
        <w:jc w:val="right"/>
        <w:rPr>
          <w:rFonts w:hint="eastAsia"/>
          <w:sz w:val="24"/>
          <w:szCs w:val="24"/>
          <w:lang w:val="en-US" w:eastAsia="zh-CN"/>
        </w:rPr>
      </w:pPr>
    </w:p>
    <w:p>
      <w:pPr>
        <w:spacing w:line="440" w:lineRule="exact"/>
        <w:ind w:right="960"/>
        <w:jc w:val="right"/>
        <w:rPr>
          <w:rFonts w:hint="eastAsia"/>
          <w:sz w:val="24"/>
          <w:szCs w:val="24"/>
          <w:lang w:val="en-US" w:eastAsia="zh-CN"/>
        </w:rPr>
      </w:pPr>
    </w:p>
    <w:p>
      <w:pPr>
        <w:spacing w:line="440" w:lineRule="exact"/>
        <w:ind w:right="960"/>
        <w:jc w:val="center"/>
        <w:rPr>
          <w:rFonts w:hint="eastAsia" w:ascii="宋体" w:hAnsi="宋体"/>
          <w:sz w:val="24"/>
        </w:rPr>
      </w:pPr>
      <w:r>
        <w:rPr>
          <w:rFonts w:hint="eastAsia"/>
          <w:sz w:val="24"/>
          <w:szCs w:val="24"/>
          <w:lang w:val="en-US" w:eastAsia="zh-CN"/>
        </w:rPr>
        <w:t xml:space="preserve">                                                 </w:t>
      </w:r>
      <w:r>
        <w:rPr>
          <w:rFonts w:hint="eastAsia" w:ascii="宋体" w:hAnsi="宋体"/>
          <w:sz w:val="24"/>
        </w:rPr>
        <w:t>北京化工大学</w:t>
      </w:r>
    </w:p>
    <w:p>
      <w:pPr>
        <w:spacing w:line="440" w:lineRule="exact"/>
        <w:ind w:right="960"/>
        <w:jc w:val="right"/>
        <w:rPr>
          <w:rFonts w:hint="eastAsia" w:ascii="宋体" w:hAnsi="宋体"/>
          <w:sz w:val="24"/>
        </w:rPr>
      </w:pPr>
      <w:r>
        <w:rPr>
          <w:rFonts w:hint="eastAsia" w:ascii="宋体" w:hAnsi="宋体"/>
          <w:sz w:val="24"/>
        </w:rPr>
        <w:t>201</w:t>
      </w:r>
      <w:r>
        <w:rPr>
          <w:rFonts w:hint="eastAsia" w:ascii="宋体" w:hAnsi="宋体"/>
          <w:sz w:val="24"/>
          <w:lang w:val="en-US" w:eastAsia="zh-CN"/>
        </w:rPr>
        <w:t>9</w:t>
      </w:r>
      <w:r>
        <w:rPr>
          <w:rFonts w:hint="eastAsia" w:ascii="宋体" w:hAnsi="宋体"/>
          <w:sz w:val="24"/>
        </w:rPr>
        <w:t>年7月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Theme="min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75"/>
    <w:rsid w:val="000D6169"/>
    <w:rsid w:val="001D4F13"/>
    <w:rsid w:val="00206C87"/>
    <w:rsid w:val="002E0BB0"/>
    <w:rsid w:val="00461296"/>
    <w:rsid w:val="00752A0D"/>
    <w:rsid w:val="008818F0"/>
    <w:rsid w:val="009B641C"/>
    <w:rsid w:val="00B53875"/>
    <w:rsid w:val="00B81A5D"/>
    <w:rsid w:val="00E623C9"/>
    <w:rsid w:val="032339AB"/>
    <w:rsid w:val="042941F7"/>
    <w:rsid w:val="096E09D0"/>
    <w:rsid w:val="1EED01C5"/>
    <w:rsid w:val="281420C0"/>
    <w:rsid w:val="292A20DC"/>
    <w:rsid w:val="2BC97AAE"/>
    <w:rsid w:val="2F3E6A1E"/>
    <w:rsid w:val="3219445B"/>
    <w:rsid w:val="32870112"/>
    <w:rsid w:val="34B41A98"/>
    <w:rsid w:val="3A9D2A4C"/>
    <w:rsid w:val="3BEF199C"/>
    <w:rsid w:val="3EA71200"/>
    <w:rsid w:val="3FC15B2F"/>
    <w:rsid w:val="425B3777"/>
    <w:rsid w:val="43BE4404"/>
    <w:rsid w:val="442259E5"/>
    <w:rsid w:val="47D3403B"/>
    <w:rsid w:val="4DF6733F"/>
    <w:rsid w:val="55BD59A6"/>
    <w:rsid w:val="61CB3D71"/>
    <w:rsid w:val="6BAD63F6"/>
    <w:rsid w:val="6F9A5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ksb</Company>
  <Pages>2</Pages>
  <Words>358</Words>
  <Characters>2045</Characters>
  <Lines>17</Lines>
  <Paragraphs>4</Paragraphs>
  <TotalTime>24</TotalTime>
  <ScaleCrop>false</ScaleCrop>
  <LinksUpToDate>false</LinksUpToDate>
  <CharactersWithSpaces>2399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2018-08-17T07:07:00Z</dcterms:created>
  <dc:creator>ksb</dc:creator>
  <cp:lastModifiedBy>琦卉（张小慧）</cp:lastModifiedBy>
  <cp:lastPrinted>2019-07-09T00:09:00Z</cp:lastPrinted>
  <dcterms:modified xsi:type="dcterms:W3CDTF">2019-07-19T06:59:15Z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